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Layout w:type="fixed"/>
        <w:tblCellMar>
          <w:left w:w="70" w:type="dxa"/>
          <w:right w:w="70" w:type="dxa"/>
        </w:tblCellMar>
        <w:tblLook w:val="0000" w:firstRow="0" w:lastRow="0" w:firstColumn="0" w:lastColumn="0" w:noHBand="0" w:noVBand="0"/>
      </w:tblPr>
      <w:tblGrid>
        <w:gridCol w:w="2588"/>
        <w:gridCol w:w="6554"/>
      </w:tblGrid>
      <w:tr w:rsidR="00045AE6" w:rsidTr="003841BC">
        <w:tc>
          <w:tcPr>
            <w:tcW w:w="2588" w:type="dxa"/>
            <w:tcBorders>
              <w:bottom w:val="single" w:sz="4" w:space="0" w:color="000000"/>
            </w:tcBorders>
            <w:shd w:val="clear" w:color="auto" w:fill="auto"/>
            <w:vAlign w:val="center"/>
          </w:tcPr>
          <w:p w:rsidR="00045AE6" w:rsidRDefault="00045AE6" w:rsidP="003841BC">
            <w:pPr>
              <w:snapToGrid w:val="0"/>
              <w:ind w:left="-85" w:right="-57"/>
              <w:jc w:val="center"/>
              <w:rPr>
                <w:rFonts w:ascii="Arial" w:hAnsi="Arial" w:cs="Arial"/>
                <w:b/>
                <w:bCs/>
                <w:caps/>
                <w:lang w:val="pt"/>
              </w:rPr>
            </w:pPr>
            <w:r>
              <w:rPr>
                <w:rFonts w:ascii="Arial" w:hAnsi="Arial" w:cs="Arial"/>
                <w:b/>
                <w:bCs/>
                <w:caps/>
                <w:noProof/>
                <w:lang w:eastAsia="pt-BR"/>
              </w:rPr>
              <w:drawing>
                <wp:anchor distT="0" distB="0" distL="114300" distR="114300" simplePos="0" relativeHeight="251659264" behindDoc="0" locked="0" layoutInCell="1" allowOverlap="1">
                  <wp:simplePos x="0" y="0"/>
                  <wp:positionH relativeFrom="column">
                    <wp:posOffset>-676275</wp:posOffset>
                  </wp:positionH>
                  <wp:positionV relativeFrom="paragraph">
                    <wp:posOffset>137160</wp:posOffset>
                  </wp:positionV>
                  <wp:extent cx="631825" cy="619125"/>
                  <wp:effectExtent l="0" t="0" r="0" b="9525"/>
                  <wp:wrapSquare wrapText="bothSides"/>
                  <wp:docPr id="1" name="Imagem 1" descr="logo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orig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54" w:type="dxa"/>
            <w:tcBorders>
              <w:bottom w:val="single" w:sz="4" w:space="0" w:color="000000"/>
            </w:tcBorders>
            <w:shd w:val="clear" w:color="auto" w:fill="auto"/>
            <w:vAlign w:val="center"/>
          </w:tcPr>
          <w:p w:rsidR="00130E4E" w:rsidRPr="00130E4E" w:rsidRDefault="00130E4E" w:rsidP="00130E4E">
            <w:pPr>
              <w:snapToGrid w:val="0"/>
              <w:spacing w:after="60"/>
              <w:jc w:val="center"/>
              <w:rPr>
                <w:rFonts w:ascii="Arial" w:hAnsi="Arial" w:cs="Arial"/>
                <w:b/>
                <w:bCs/>
                <w:caps/>
                <w:lang w:val="pt"/>
              </w:rPr>
            </w:pPr>
            <w:r w:rsidRPr="00130E4E">
              <w:rPr>
                <w:rFonts w:ascii="Arial" w:hAnsi="Arial" w:cs="Arial"/>
                <w:b/>
                <w:bCs/>
                <w:caps/>
                <w:lang w:val="pt"/>
              </w:rPr>
              <w:t xml:space="preserve">XV JORNADA CIENTÍFICA DOS CAMPOS GERAIS </w:t>
            </w:r>
          </w:p>
          <w:p w:rsidR="00045AE6" w:rsidRPr="00130E4E" w:rsidRDefault="00130E4E" w:rsidP="00130E4E">
            <w:pPr>
              <w:jc w:val="right"/>
              <w:rPr>
                <w:rFonts w:ascii="Arial" w:hAnsi="Arial" w:cs="Arial"/>
                <w:iCs/>
                <w:sz w:val="18"/>
                <w:szCs w:val="18"/>
              </w:rPr>
            </w:pPr>
            <w:r w:rsidRPr="00130E4E">
              <w:rPr>
                <w:rFonts w:ascii="Arial" w:hAnsi="Arial" w:cs="Arial"/>
                <w:bCs/>
                <w:caps/>
                <w:sz w:val="18"/>
                <w:szCs w:val="18"/>
                <w:lang w:val="pt"/>
              </w:rPr>
              <w:t>P</w:t>
            </w:r>
            <w:r w:rsidRPr="00130E4E">
              <w:rPr>
                <w:rFonts w:ascii="Arial" w:hAnsi="Arial" w:cs="Arial"/>
                <w:bCs/>
                <w:sz w:val="18"/>
                <w:szCs w:val="18"/>
                <w:lang w:val="pt"/>
              </w:rPr>
              <w:t xml:space="preserve">onta </w:t>
            </w:r>
            <w:r>
              <w:rPr>
                <w:rFonts w:ascii="Arial" w:hAnsi="Arial" w:cs="Arial"/>
                <w:bCs/>
                <w:caps/>
                <w:sz w:val="18"/>
                <w:szCs w:val="18"/>
                <w:lang w:val="pt"/>
              </w:rPr>
              <w:t>G</w:t>
            </w:r>
            <w:r>
              <w:rPr>
                <w:rFonts w:ascii="Arial" w:hAnsi="Arial" w:cs="Arial"/>
                <w:bCs/>
                <w:sz w:val="18"/>
                <w:szCs w:val="18"/>
                <w:lang w:val="pt"/>
              </w:rPr>
              <w:t>rossa</w:t>
            </w:r>
            <w:r w:rsidRPr="00130E4E">
              <w:rPr>
                <w:rFonts w:ascii="Arial" w:hAnsi="Arial" w:cs="Arial"/>
                <w:bCs/>
                <w:caps/>
                <w:sz w:val="18"/>
                <w:szCs w:val="18"/>
                <w:lang w:val="pt"/>
              </w:rPr>
              <w:t>, 25 a 27 de outubro de 2017</w:t>
            </w:r>
            <w:r>
              <w:rPr>
                <w:rFonts w:ascii="Arial" w:hAnsi="Arial" w:cs="Arial"/>
                <w:bCs/>
                <w:caps/>
                <w:sz w:val="18"/>
                <w:szCs w:val="18"/>
                <w:lang w:val="pt"/>
              </w:rPr>
              <w:t>.</w:t>
            </w:r>
          </w:p>
        </w:tc>
      </w:tr>
    </w:tbl>
    <w:p w:rsidR="00045AE6" w:rsidRDefault="00045AE6" w:rsidP="00045AE6">
      <w:pPr>
        <w:jc w:val="both"/>
        <w:rPr>
          <w:rFonts w:ascii="Arial" w:hAnsi="Arial" w:cs="Arial"/>
        </w:rPr>
      </w:pPr>
    </w:p>
    <w:p w:rsidR="00045AE6" w:rsidRPr="000325B1" w:rsidRDefault="00C84719" w:rsidP="00045AE6">
      <w:pPr>
        <w:spacing w:line="360" w:lineRule="auto"/>
        <w:jc w:val="center"/>
        <w:rPr>
          <w:rFonts w:ascii="Arial" w:hAnsi="Arial" w:cs="Arial"/>
          <w:b/>
          <w:sz w:val="28"/>
          <w:szCs w:val="28"/>
        </w:rPr>
      </w:pPr>
      <w:r>
        <w:rPr>
          <w:rFonts w:ascii="Arial" w:hAnsi="Arial" w:cs="Arial"/>
          <w:b/>
          <w:sz w:val="28"/>
          <w:szCs w:val="28"/>
        </w:rPr>
        <w:t xml:space="preserve">PEDAGOGIA EM </w:t>
      </w:r>
      <w:r w:rsidR="00961DDE">
        <w:rPr>
          <w:rFonts w:ascii="Arial" w:hAnsi="Arial" w:cs="Arial"/>
          <w:b/>
          <w:sz w:val="28"/>
          <w:szCs w:val="28"/>
        </w:rPr>
        <w:t>ESPAÇOS</w:t>
      </w:r>
      <w:r>
        <w:rPr>
          <w:rFonts w:ascii="Arial" w:hAnsi="Arial" w:cs="Arial"/>
          <w:b/>
          <w:sz w:val="28"/>
          <w:szCs w:val="28"/>
        </w:rPr>
        <w:t xml:space="preserve"> NÃO ESCOLARES</w:t>
      </w:r>
    </w:p>
    <w:p w:rsidR="00045AE6" w:rsidRPr="002703E9" w:rsidRDefault="00045AE6" w:rsidP="00045AE6">
      <w:pPr>
        <w:jc w:val="center"/>
        <w:rPr>
          <w:rFonts w:ascii="Arial" w:hAnsi="Arial" w:cs="Arial"/>
          <w:b/>
        </w:rPr>
      </w:pPr>
    </w:p>
    <w:p w:rsidR="00045AE6" w:rsidRDefault="00045AE6" w:rsidP="00045AE6">
      <w:pPr>
        <w:tabs>
          <w:tab w:val="left" w:pos="1440"/>
        </w:tabs>
        <w:jc w:val="right"/>
        <w:rPr>
          <w:rFonts w:ascii="Arial" w:hAnsi="Arial" w:cs="Arial"/>
          <w:sz w:val="20"/>
          <w:szCs w:val="20"/>
        </w:rPr>
      </w:pPr>
      <w:r>
        <w:rPr>
          <w:rFonts w:ascii="Arial" w:hAnsi="Arial" w:cs="Arial"/>
          <w:sz w:val="20"/>
          <w:szCs w:val="20"/>
        </w:rPr>
        <w:t>Shaiene Rodrigues de Ávila</w:t>
      </w:r>
      <w:r w:rsidR="00C84719">
        <w:rPr>
          <w:rStyle w:val="Refdenotaderodap"/>
          <w:rFonts w:ascii="Arial" w:hAnsi="Arial" w:cs="Arial"/>
          <w:sz w:val="20"/>
          <w:szCs w:val="20"/>
        </w:rPr>
        <w:footnoteReference w:id="1"/>
      </w:r>
    </w:p>
    <w:p w:rsidR="00130E4E" w:rsidRDefault="00130E4E" w:rsidP="00045AE6">
      <w:pPr>
        <w:tabs>
          <w:tab w:val="left" w:pos="1440"/>
        </w:tabs>
        <w:jc w:val="right"/>
        <w:rPr>
          <w:rFonts w:ascii="Arial" w:hAnsi="Arial" w:cs="Arial"/>
          <w:sz w:val="20"/>
          <w:szCs w:val="20"/>
        </w:rPr>
      </w:pPr>
      <w:r>
        <w:rPr>
          <w:rFonts w:ascii="Arial" w:hAnsi="Arial" w:cs="Arial"/>
          <w:sz w:val="20"/>
          <w:szCs w:val="20"/>
        </w:rPr>
        <w:t xml:space="preserve">Ingrid </w:t>
      </w:r>
      <w:proofErr w:type="spellStart"/>
      <w:r>
        <w:rPr>
          <w:rFonts w:ascii="Arial" w:hAnsi="Arial" w:cs="Arial"/>
          <w:sz w:val="20"/>
          <w:szCs w:val="20"/>
        </w:rPr>
        <w:t>Gayer</w:t>
      </w:r>
      <w:proofErr w:type="spellEnd"/>
      <w:r>
        <w:rPr>
          <w:rFonts w:ascii="Arial" w:hAnsi="Arial" w:cs="Arial"/>
          <w:sz w:val="20"/>
          <w:szCs w:val="20"/>
        </w:rPr>
        <w:t xml:space="preserve"> </w:t>
      </w:r>
      <w:proofErr w:type="spellStart"/>
      <w:r>
        <w:rPr>
          <w:rFonts w:ascii="Arial" w:hAnsi="Arial" w:cs="Arial"/>
          <w:sz w:val="20"/>
          <w:szCs w:val="20"/>
        </w:rPr>
        <w:t>Pessi</w:t>
      </w:r>
      <w:proofErr w:type="spellEnd"/>
      <w:r>
        <w:rPr>
          <w:rStyle w:val="Refdenotaderodap"/>
          <w:rFonts w:ascii="Arial" w:hAnsi="Arial" w:cs="Arial"/>
          <w:sz w:val="20"/>
          <w:szCs w:val="20"/>
        </w:rPr>
        <w:footnoteReference w:id="2"/>
      </w:r>
    </w:p>
    <w:p w:rsidR="00045AE6" w:rsidRDefault="00045AE6" w:rsidP="00045AE6">
      <w:pPr>
        <w:tabs>
          <w:tab w:val="left" w:pos="1440"/>
        </w:tabs>
        <w:jc w:val="right"/>
        <w:rPr>
          <w:rFonts w:ascii="Arial" w:hAnsi="Arial" w:cs="Arial"/>
          <w:sz w:val="20"/>
          <w:szCs w:val="20"/>
        </w:rPr>
      </w:pPr>
    </w:p>
    <w:p w:rsidR="00045AE6" w:rsidRDefault="00045AE6" w:rsidP="00045AE6">
      <w:pPr>
        <w:tabs>
          <w:tab w:val="left" w:pos="1440"/>
        </w:tabs>
        <w:jc w:val="right"/>
        <w:rPr>
          <w:rFonts w:ascii="Arial" w:hAnsi="Arial" w:cs="Arial"/>
          <w:sz w:val="20"/>
          <w:szCs w:val="20"/>
        </w:rPr>
      </w:pPr>
    </w:p>
    <w:p w:rsidR="00045AE6" w:rsidRPr="000325B1" w:rsidRDefault="00045AE6" w:rsidP="00966846">
      <w:pPr>
        <w:jc w:val="both"/>
        <w:rPr>
          <w:rFonts w:ascii="Arial" w:hAnsi="Arial"/>
          <w:i/>
        </w:rPr>
      </w:pPr>
      <w:r>
        <w:rPr>
          <w:rFonts w:ascii="Arial" w:hAnsi="Arial"/>
          <w:b/>
        </w:rPr>
        <w:t>Resumo:</w:t>
      </w:r>
      <w:r>
        <w:rPr>
          <w:rFonts w:ascii="Arial" w:hAnsi="Arial"/>
          <w:i/>
        </w:rPr>
        <w:t xml:space="preserve"> </w:t>
      </w:r>
      <w:r w:rsidRPr="000325B1">
        <w:rPr>
          <w:rFonts w:ascii="Arial" w:hAnsi="Arial"/>
          <w:i/>
          <w:sz w:val="20"/>
          <w:szCs w:val="20"/>
        </w:rPr>
        <w:t xml:space="preserve">O presente trabalho aborda a atuação do Pedagogo em espaços não </w:t>
      </w:r>
      <w:r w:rsidR="00C84719">
        <w:rPr>
          <w:rFonts w:ascii="Arial" w:hAnsi="Arial"/>
          <w:i/>
          <w:sz w:val="20"/>
          <w:szCs w:val="20"/>
        </w:rPr>
        <w:t>escolares</w:t>
      </w:r>
      <w:r w:rsidRPr="000325B1">
        <w:rPr>
          <w:rFonts w:ascii="Arial" w:hAnsi="Arial"/>
          <w:i/>
          <w:sz w:val="20"/>
          <w:szCs w:val="20"/>
        </w:rPr>
        <w:t xml:space="preserve">, </w:t>
      </w:r>
      <w:r w:rsidR="00C84719">
        <w:rPr>
          <w:rFonts w:ascii="Arial" w:hAnsi="Arial"/>
          <w:i/>
          <w:sz w:val="20"/>
          <w:szCs w:val="20"/>
        </w:rPr>
        <w:t>ou seja, fora dos muros da escola</w:t>
      </w:r>
      <w:r w:rsidRPr="000325B1">
        <w:rPr>
          <w:rFonts w:ascii="Arial" w:hAnsi="Arial"/>
          <w:i/>
        </w:rPr>
        <w:t xml:space="preserve">. </w:t>
      </w:r>
      <w:r w:rsidRPr="000325B1">
        <w:rPr>
          <w:rFonts w:ascii="Arial" w:hAnsi="Arial" w:cs="Arial"/>
          <w:i/>
          <w:sz w:val="20"/>
          <w:szCs w:val="20"/>
        </w:rPr>
        <w:t xml:space="preserve">A respectiva pesquisa é de relevante contribuição para formação acadêmica, visando um melhor entendimento sobre o papel do pedagogo </w:t>
      </w:r>
      <w:r w:rsidR="00C84719">
        <w:rPr>
          <w:rFonts w:ascii="Arial" w:hAnsi="Arial" w:cs="Arial"/>
          <w:i/>
          <w:sz w:val="20"/>
          <w:szCs w:val="20"/>
        </w:rPr>
        <w:t>em diferentes espaços</w:t>
      </w:r>
      <w:r w:rsidRPr="000325B1">
        <w:rPr>
          <w:rFonts w:ascii="Arial" w:hAnsi="Arial" w:cs="Arial"/>
          <w:i/>
          <w:sz w:val="20"/>
          <w:szCs w:val="20"/>
        </w:rPr>
        <w:t>, como também</w:t>
      </w:r>
      <w:r w:rsidR="00C84719">
        <w:rPr>
          <w:rFonts w:ascii="Arial" w:hAnsi="Arial" w:cs="Arial"/>
          <w:i/>
          <w:sz w:val="20"/>
          <w:szCs w:val="20"/>
        </w:rPr>
        <w:t>, apresentar a importância dessa atuação para crianças e jovens que não encontram-se nas salas de aula por diversos fatores.</w:t>
      </w:r>
    </w:p>
    <w:p w:rsidR="00045AE6" w:rsidRDefault="00045AE6" w:rsidP="00045AE6">
      <w:pPr>
        <w:spacing w:before="240" w:after="300"/>
        <w:jc w:val="both"/>
        <w:rPr>
          <w:rFonts w:ascii="Arial" w:hAnsi="Arial" w:cs="Arial"/>
        </w:rPr>
      </w:pPr>
      <w:r>
        <w:rPr>
          <w:rFonts w:ascii="Arial" w:hAnsi="Arial" w:cs="Arial"/>
          <w:b/>
        </w:rPr>
        <w:t>Palavras-chave:</w:t>
      </w:r>
      <w:r>
        <w:rPr>
          <w:rFonts w:ascii="Arial" w:hAnsi="Arial" w:cs="Arial"/>
        </w:rPr>
        <w:t xml:space="preserve"> Pedagogo. </w:t>
      </w:r>
      <w:r w:rsidR="00C84719">
        <w:rPr>
          <w:rFonts w:ascii="Arial" w:hAnsi="Arial" w:cs="Arial"/>
        </w:rPr>
        <w:t>Espaços não escolares</w:t>
      </w:r>
      <w:r>
        <w:rPr>
          <w:rFonts w:ascii="Arial" w:hAnsi="Arial" w:cs="Arial"/>
        </w:rPr>
        <w:t xml:space="preserve">. Atuação.  </w:t>
      </w:r>
    </w:p>
    <w:p w:rsidR="00045AE6" w:rsidRDefault="00045AE6" w:rsidP="00045AE6">
      <w:pPr>
        <w:pStyle w:val="EstiloNormalArial"/>
      </w:pPr>
    </w:p>
    <w:p w:rsidR="00045AE6" w:rsidRDefault="004C7256" w:rsidP="00045AE6">
      <w:pPr>
        <w:pStyle w:val="TtuloSubSeoArtigoArial"/>
      </w:pPr>
      <w:r>
        <w:t xml:space="preserve">Introdução </w:t>
      </w:r>
    </w:p>
    <w:p w:rsidR="00045AE6" w:rsidRPr="00045AE6" w:rsidRDefault="00045AE6" w:rsidP="00DE17B8">
      <w:pPr>
        <w:autoSpaceDE w:val="0"/>
        <w:autoSpaceDN w:val="0"/>
        <w:adjustRightInd w:val="0"/>
        <w:ind w:firstLine="709"/>
        <w:jc w:val="both"/>
        <w:rPr>
          <w:rFonts w:ascii="Arial" w:hAnsi="Arial" w:cs="Arial"/>
          <w:color w:val="000000"/>
        </w:rPr>
      </w:pPr>
      <w:r w:rsidRPr="00045AE6">
        <w:rPr>
          <w:rFonts w:ascii="Arial" w:hAnsi="Arial" w:cs="Arial"/>
          <w:color w:val="000000"/>
        </w:rPr>
        <w:t>O respectivo trabalho foi executado por meio de pesquisa bibliográfica por abordagem qualitativa, com</w:t>
      </w:r>
      <w:r w:rsidR="00125CF5">
        <w:rPr>
          <w:rFonts w:ascii="Arial" w:hAnsi="Arial" w:cs="Arial"/>
          <w:color w:val="000000"/>
        </w:rPr>
        <w:t xml:space="preserve"> a</w:t>
      </w:r>
      <w:r w:rsidRPr="00045AE6">
        <w:rPr>
          <w:rFonts w:ascii="Arial" w:hAnsi="Arial" w:cs="Arial"/>
          <w:color w:val="000000"/>
        </w:rPr>
        <w:t xml:space="preserve"> fi</w:t>
      </w:r>
      <w:r w:rsidR="00125CF5">
        <w:rPr>
          <w:rFonts w:ascii="Arial" w:hAnsi="Arial" w:cs="Arial"/>
          <w:color w:val="000000"/>
        </w:rPr>
        <w:t>nalidade de contemplar sobre a</w:t>
      </w:r>
      <w:r w:rsidRPr="00045AE6">
        <w:rPr>
          <w:rFonts w:ascii="Arial" w:hAnsi="Arial" w:cs="Arial"/>
          <w:color w:val="000000"/>
        </w:rPr>
        <w:t xml:space="preserve"> importância </w:t>
      </w:r>
      <w:r w:rsidR="00C84719">
        <w:rPr>
          <w:rFonts w:ascii="Arial" w:hAnsi="Arial" w:cs="Arial"/>
          <w:color w:val="000000"/>
        </w:rPr>
        <w:t>da pedagogia em ambientes não escolares</w:t>
      </w:r>
      <w:r w:rsidRPr="00045AE6">
        <w:rPr>
          <w:rFonts w:ascii="Arial" w:hAnsi="Arial" w:cs="Arial"/>
          <w:color w:val="000000"/>
        </w:rPr>
        <w:t xml:space="preserve">. </w:t>
      </w:r>
    </w:p>
    <w:p w:rsidR="00C84719" w:rsidRDefault="00C84719" w:rsidP="00DE17B8">
      <w:pPr>
        <w:ind w:firstLine="709"/>
        <w:jc w:val="both"/>
        <w:rPr>
          <w:rFonts w:ascii="Arial" w:hAnsi="Arial" w:cs="Arial"/>
        </w:rPr>
      </w:pPr>
      <w:r>
        <w:rPr>
          <w:rFonts w:ascii="Arial" w:hAnsi="Arial" w:cs="Arial"/>
        </w:rPr>
        <w:t>O curso de Licen</w:t>
      </w:r>
      <w:r w:rsidR="00125CF5">
        <w:rPr>
          <w:rFonts w:ascii="Arial" w:hAnsi="Arial" w:cs="Arial"/>
        </w:rPr>
        <w:t>ciatura em Pedagogia habilita o</w:t>
      </w:r>
      <w:r>
        <w:rPr>
          <w:rFonts w:ascii="Arial" w:hAnsi="Arial" w:cs="Arial"/>
        </w:rPr>
        <w:t xml:space="preserve">(a) acadêmico(a) não somente </w:t>
      </w:r>
      <w:r w:rsidR="00125CF5">
        <w:rPr>
          <w:rFonts w:ascii="Arial" w:hAnsi="Arial" w:cs="Arial"/>
        </w:rPr>
        <w:t>para atuar como professores de Educação Infantil e Ensino F</w:t>
      </w:r>
      <w:r>
        <w:rPr>
          <w:rFonts w:ascii="Arial" w:hAnsi="Arial" w:cs="Arial"/>
        </w:rPr>
        <w:t>undamental I, mas também para áreas que denomina</w:t>
      </w:r>
      <w:r w:rsidR="00130E4E">
        <w:rPr>
          <w:rFonts w:ascii="Arial" w:hAnsi="Arial" w:cs="Arial"/>
        </w:rPr>
        <w:t>m</w:t>
      </w:r>
      <w:r>
        <w:rPr>
          <w:rFonts w:ascii="Arial" w:hAnsi="Arial" w:cs="Arial"/>
        </w:rPr>
        <w:t xml:space="preserve">-se </w:t>
      </w:r>
      <w:r w:rsidRPr="004435A2">
        <w:rPr>
          <w:rFonts w:ascii="Arial" w:hAnsi="Arial" w:cs="Arial"/>
          <w:i/>
        </w:rPr>
        <w:t>educação não formal</w:t>
      </w:r>
      <w:r>
        <w:rPr>
          <w:rFonts w:ascii="Arial" w:hAnsi="Arial" w:cs="Arial"/>
        </w:rPr>
        <w:t>. Desse modo, destaca-se as diferenças no contexto educacional, conforme corrobora</w:t>
      </w:r>
      <w:r w:rsidR="00130E4E">
        <w:rPr>
          <w:rFonts w:ascii="Arial" w:hAnsi="Arial" w:cs="Arial"/>
        </w:rPr>
        <w:t>m</w:t>
      </w:r>
      <w:r>
        <w:rPr>
          <w:rFonts w:ascii="Arial" w:hAnsi="Arial" w:cs="Arial"/>
        </w:rPr>
        <w:t xml:space="preserve"> Guilherme e </w:t>
      </w:r>
      <w:proofErr w:type="spellStart"/>
      <w:r>
        <w:rPr>
          <w:rFonts w:ascii="Arial" w:hAnsi="Arial" w:cs="Arial"/>
        </w:rPr>
        <w:t>Tozetto</w:t>
      </w:r>
      <w:proofErr w:type="spellEnd"/>
      <w:r>
        <w:rPr>
          <w:rFonts w:ascii="Arial" w:hAnsi="Arial" w:cs="Arial"/>
        </w:rPr>
        <w:t xml:space="preserve"> (2012, p. 18):</w:t>
      </w:r>
    </w:p>
    <w:p w:rsidR="00C84719" w:rsidRDefault="00C84719" w:rsidP="00C84719">
      <w:pPr>
        <w:rPr>
          <w:rFonts w:ascii="Arial" w:hAnsi="Arial" w:cs="Arial"/>
        </w:rPr>
      </w:pPr>
    </w:p>
    <w:p w:rsidR="00C84719" w:rsidRPr="0029636D" w:rsidRDefault="00C84719" w:rsidP="00DE17B8">
      <w:pPr>
        <w:ind w:left="2268"/>
        <w:jc w:val="both"/>
        <w:rPr>
          <w:rFonts w:ascii="Arial" w:hAnsi="Arial" w:cs="Arial"/>
          <w:sz w:val="20"/>
          <w:szCs w:val="20"/>
        </w:rPr>
      </w:pPr>
      <w:r w:rsidRPr="0029636D">
        <w:rPr>
          <w:rFonts w:ascii="Arial" w:hAnsi="Arial" w:cs="Arial"/>
          <w:sz w:val="20"/>
          <w:szCs w:val="20"/>
        </w:rPr>
        <w:t xml:space="preserve">EDUCAÇÃO FORMAL= inclusa no sistema educativo. Trata-se do processo formativo desenvolvido nas escolas, com </w:t>
      </w:r>
      <w:proofErr w:type="spellStart"/>
      <w:r w:rsidRPr="0029636D">
        <w:rPr>
          <w:rFonts w:ascii="Arial" w:hAnsi="Arial" w:cs="Arial"/>
          <w:sz w:val="20"/>
          <w:szCs w:val="20"/>
        </w:rPr>
        <w:t>conteúdos</w:t>
      </w:r>
      <w:proofErr w:type="spellEnd"/>
      <w:r w:rsidRPr="0029636D">
        <w:rPr>
          <w:rFonts w:ascii="Arial" w:hAnsi="Arial" w:cs="Arial"/>
          <w:sz w:val="20"/>
          <w:szCs w:val="20"/>
        </w:rPr>
        <w:t xml:space="preserve"> previamente determinados. É aquela que atende a um currículo formal e que certifica no final do processo.</w:t>
      </w:r>
    </w:p>
    <w:p w:rsidR="00C84719" w:rsidRPr="0029636D" w:rsidRDefault="00C84719" w:rsidP="00DE17B8">
      <w:pPr>
        <w:ind w:left="2268"/>
        <w:jc w:val="both"/>
        <w:rPr>
          <w:rFonts w:ascii="Arial" w:hAnsi="Arial" w:cs="Arial"/>
          <w:sz w:val="20"/>
          <w:szCs w:val="20"/>
        </w:rPr>
      </w:pPr>
      <w:r w:rsidRPr="0029636D">
        <w:rPr>
          <w:rFonts w:ascii="Arial" w:hAnsi="Arial" w:cs="Arial"/>
          <w:sz w:val="20"/>
          <w:szCs w:val="20"/>
        </w:rPr>
        <w:t xml:space="preserve">EDUCAÇÃO NÃO FORMAL= práticas educativas que ocorrem fora da escola. Há intencionalidade no desenvolvimento, o aprendizado não é espontâneo, não é natural. Não está atrelada a um programa </w:t>
      </w:r>
      <w:proofErr w:type="spellStart"/>
      <w:r w:rsidRPr="0029636D">
        <w:rPr>
          <w:rFonts w:ascii="Arial" w:hAnsi="Arial" w:cs="Arial"/>
          <w:sz w:val="20"/>
          <w:szCs w:val="20"/>
        </w:rPr>
        <w:t>pré</w:t>
      </w:r>
      <w:proofErr w:type="spellEnd"/>
      <w:r w:rsidRPr="0029636D">
        <w:rPr>
          <w:rFonts w:ascii="Arial" w:hAnsi="Arial" w:cs="Arial"/>
          <w:sz w:val="20"/>
          <w:szCs w:val="20"/>
        </w:rPr>
        <w:t xml:space="preserve"> determinado.</w:t>
      </w:r>
    </w:p>
    <w:p w:rsidR="00045AE6" w:rsidRDefault="00C84719" w:rsidP="00045AE6">
      <w:pPr>
        <w:ind w:left="2268"/>
        <w:jc w:val="both"/>
        <w:rPr>
          <w:rFonts w:ascii="Arial" w:hAnsi="Arial" w:cs="Arial"/>
          <w:sz w:val="20"/>
          <w:szCs w:val="20"/>
        </w:rPr>
      </w:pPr>
      <w:r w:rsidRPr="0029636D">
        <w:rPr>
          <w:rFonts w:ascii="Arial" w:hAnsi="Arial" w:cs="Arial"/>
          <w:sz w:val="20"/>
          <w:szCs w:val="20"/>
        </w:rPr>
        <w:t>EDUCAÇÃO INFORMAL= não é intencional e incorpora valores e culturas próprias de um determinado grupo. Desenvolve um sentimento de pertencimento e sentimentos herdados do grupo ao qual faz parte.</w:t>
      </w:r>
    </w:p>
    <w:p w:rsidR="00DE17B8" w:rsidRPr="005827AA" w:rsidRDefault="00DE17B8" w:rsidP="00045AE6">
      <w:pPr>
        <w:ind w:left="2268"/>
        <w:jc w:val="both"/>
        <w:rPr>
          <w:rFonts w:ascii="Arial" w:hAnsi="Arial" w:cs="Arial"/>
          <w:sz w:val="20"/>
          <w:szCs w:val="20"/>
        </w:rPr>
      </w:pPr>
    </w:p>
    <w:p w:rsidR="00045AE6" w:rsidRPr="00F25E5D" w:rsidRDefault="00045AE6" w:rsidP="00130E4E">
      <w:pPr>
        <w:ind w:firstLine="709"/>
        <w:jc w:val="both"/>
        <w:rPr>
          <w:color w:val="FF0000"/>
        </w:rPr>
      </w:pPr>
      <w:r>
        <w:rPr>
          <w:rFonts w:ascii="Arial" w:hAnsi="Arial" w:cs="Arial"/>
        </w:rPr>
        <w:t xml:space="preserve">Percebe-se que a educação atualmente exige cada vez mais de profissionais capacitados para </w:t>
      </w:r>
      <w:r w:rsidR="00DC2FEB">
        <w:rPr>
          <w:rFonts w:ascii="Arial" w:hAnsi="Arial" w:cs="Arial"/>
        </w:rPr>
        <w:t xml:space="preserve">atender a demanda de crianças e jovens que por diversos motivos não estão em salas de aula e apresentam </w:t>
      </w:r>
      <w:r>
        <w:rPr>
          <w:rFonts w:ascii="Arial" w:hAnsi="Arial" w:cs="Arial"/>
        </w:rPr>
        <w:t xml:space="preserve">dificuldades de aprendizagem. </w:t>
      </w:r>
      <w:r w:rsidRPr="00045AE6">
        <w:rPr>
          <w:rFonts w:ascii="Arial" w:hAnsi="Arial" w:cs="Arial"/>
        </w:rPr>
        <w:t xml:space="preserve">Dentro deste contexto, a pesquisa busca </w:t>
      </w:r>
      <w:r w:rsidR="00DC2FEB">
        <w:rPr>
          <w:rFonts w:ascii="Arial" w:hAnsi="Arial" w:cs="Arial"/>
        </w:rPr>
        <w:t>conhecer a pedagogia em espaços não escolares</w:t>
      </w:r>
      <w:r w:rsidRPr="00045AE6">
        <w:rPr>
          <w:rFonts w:ascii="Arial" w:hAnsi="Arial" w:cs="Arial"/>
        </w:rPr>
        <w:t>.</w:t>
      </w:r>
      <w:r w:rsidRPr="00B83A3A">
        <w:rPr>
          <w:rFonts w:ascii="Arial" w:hAnsi="Arial" w:cs="Arial"/>
        </w:rPr>
        <w:t xml:space="preserve"> </w:t>
      </w:r>
    </w:p>
    <w:p w:rsidR="00961DDE" w:rsidRDefault="00961DDE" w:rsidP="00F55C97">
      <w:pPr>
        <w:pStyle w:val="TtuloSubSeoArtigoArial"/>
        <w:spacing w:before="0" w:after="0"/>
        <w:jc w:val="both"/>
      </w:pPr>
    </w:p>
    <w:p w:rsidR="00045AE6" w:rsidRDefault="00045AE6" w:rsidP="00F55C97">
      <w:pPr>
        <w:pStyle w:val="TtuloSubSeoArtigoArial"/>
        <w:spacing w:before="0" w:after="0"/>
        <w:jc w:val="both"/>
      </w:pPr>
      <w:r>
        <w:t xml:space="preserve">Objetivos </w:t>
      </w:r>
    </w:p>
    <w:p w:rsidR="00045AE6" w:rsidRPr="008D69B5" w:rsidRDefault="00DC2FEB" w:rsidP="00F55C97">
      <w:pPr>
        <w:pStyle w:val="EstiloNormalArial"/>
        <w:numPr>
          <w:ilvl w:val="0"/>
          <w:numId w:val="1"/>
        </w:numPr>
        <w:ind w:left="0" w:firstLine="0"/>
      </w:pPr>
      <w:r>
        <w:rPr>
          <w:rFonts w:cs="Arial"/>
          <w:color w:val="000000"/>
          <w:shd w:val="clear" w:color="auto" w:fill="FFFFFF"/>
        </w:rPr>
        <w:t>Conhecer os diversos espaços em que o pedagogo pode atuar</w:t>
      </w:r>
      <w:r w:rsidR="004C7256">
        <w:rPr>
          <w:rFonts w:cs="Arial"/>
          <w:color w:val="000000"/>
          <w:shd w:val="clear" w:color="auto" w:fill="FFFFFF"/>
        </w:rPr>
        <w:t>;</w:t>
      </w:r>
    </w:p>
    <w:p w:rsidR="00045AE6" w:rsidRPr="004C7256" w:rsidRDefault="00DC2FEB" w:rsidP="00F55C97">
      <w:pPr>
        <w:pStyle w:val="EstiloNormalArial"/>
        <w:numPr>
          <w:ilvl w:val="0"/>
          <w:numId w:val="1"/>
        </w:numPr>
        <w:ind w:left="0" w:firstLine="0"/>
      </w:pPr>
      <w:r>
        <w:rPr>
          <w:rFonts w:cs="Arial"/>
          <w:color w:val="000000"/>
          <w:shd w:val="clear" w:color="auto" w:fill="FFFFFF"/>
        </w:rPr>
        <w:lastRenderedPageBreak/>
        <w:t>Esclarecer a diferença entre a educação formal, não formal e informal</w:t>
      </w:r>
      <w:r w:rsidR="004C7256">
        <w:rPr>
          <w:rFonts w:cs="Arial"/>
          <w:color w:val="000000"/>
          <w:shd w:val="clear" w:color="auto" w:fill="FFFFFF"/>
        </w:rPr>
        <w:t>;</w:t>
      </w:r>
    </w:p>
    <w:p w:rsidR="004C7256" w:rsidRPr="005827AA" w:rsidRDefault="00DC2FEB" w:rsidP="00F55C97">
      <w:pPr>
        <w:pStyle w:val="PargrafodaLista"/>
        <w:numPr>
          <w:ilvl w:val="0"/>
          <w:numId w:val="1"/>
        </w:numPr>
        <w:spacing w:after="0" w:line="240" w:lineRule="auto"/>
        <w:ind w:left="0" w:firstLine="0"/>
        <w:jc w:val="both"/>
        <w:rPr>
          <w:rFonts w:ascii="Arial" w:hAnsi="Arial" w:cs="Arial"/>
          <w:sz w:val="24"/>
          <w:szCs w:val="24"/>
        </w:rPr>
      </w:pPr>
      <w:r>
        <w:rPr>
          <w:rFonts w:ascii="Arial" w:hAnsi="Arial" w:cs="Arial"/>
          <w:sz w:val="24"/>
          <w:szCs w:val="24"/>
        </w:rPr>
        <w:t>Discutir a importância do atendimento em espaços não escolares</w:t>
      </w:r>
      <w:r w:rsidR="004C7256" w:rsidRPr="005827AA">
        <w:rPr>
          <w:rFonts w:ascii="Arial" w:hAnsi="Arial" w:cs="Arial"/>
          <w:sz w:val="24"/>
          <w:szCs w:val="24"/>
        </w:rPr>
        <w:t>.</w:t>
      </w:r>
    </w:p>
    <w:p w:rsidR="004C7256" w:rsidRPr="008D69B5" w:rsidRDefault="004C7256" w:rsidP="00F55C97">
      <w:pPr>
        <w:pStyle w:val="EstiloNormalArial"/>
        <w:ind w:firstLine="0"/>
      </w:pPr>
    </w:p>
    <w:p w:rsidR="00045AE6" w:rsidRDefault="00045AE6" w:rsidP="00F55C97">
      <w:pPr>
        <w:pStyle w:val="EstiloNormalArial"/>
        <w:ind w:firstLine="0"/>
      </w:pPr>
    </w:p>
    <w:p w:rsidR="00045AE6" w:rsidRDefault="00045AE6" w:rsidP="00F55C97">
      <w:pPr>
        <w:pStyle w:val="TtuloSubSeoArtigoArial"/>
        <w:spacing w:before="0" w:after="0"/>
        <w:jc w:val="both"/>
      </w:pPr>
      <w:r>
        <w:t xml:space="preserve">Metodologia </w:t>
      </w:r>
    </w:p>
    <w:p w:rsidR="00045AE6" w:rsidRDefault="00045AE6" w:rsidP="00130E4E">
      <w:pPr>
        <w:pStyle w:val="EstiloNormalArial"/>
        <w:ind w:firstLine="709"/>
      </w:pPr>
      <w:r>
        <w:t xml:space="preserve">Para elaboração desse trabalho, </w:t>
      </w:r>
      <w:r w:rsidR="00DC2FEB">
        <w:t>foi utilizado o segundo capítulo do trabalho de conclusão de curso (TCC), intitulado “Pedagogia Hospitalar: As necessidades e a importância de uma implementação na cidade de Ponta Grossa-</w:t>
      </w:r>
      <w:proofErr w:type="spellStart"/>
      <w:r w:rsidR="00DC2FEB">
        <w:t>Pr</w:t>
      </w:r>
      <w:proofErr w:type="spellEnd"/>
      <w:r w:rsidR="00125CF5">
        <w:t>”</w:t>
      </w:r>
      <w:r>
        <w:t xml:space="preserve">, onde </w:t>
      </w:r>
      <w:r w:rsidR="00DC2FEB">
        <w:t>baseou-se</w:t>
      </w:r>
      <w:r>
        <w:t xml:space="preserve"> em autores como </w:t>
      </w:r>
      <w:r w:rsidR="00DC2FEB">
        <w:t xml:space="preserve">Guilherme e </w:t>
      </w:r>
      <w:proofErr w:type="spellStart"/>
      <w:r w:rsidR="00DC2FEB">
        <w:t>Tozetto</w:t>
      </w:r>
      <w:proofErr w:type="spellEnd"/>
      <w:r w:rsidR="00444E03">
        <w:t xml:space="preserve"> (20</w:t>
      </w:r>
      <w:r w:rsidR="00DC2FEB">
        <w:t>12</w:t>
      </w:r>
      <w:r w:rsidR="00444E03">
        <w:t>)</w:t>
      </w:r>
      <w:r w:rsidR="00DC2FEB">
        <w:t xml:space="preserve">, </w:t>
      </w:r>
      <w:proofErr w:type="spellStart"/>
      <w:r w:rsidR="00DC2FEB">
        <w:t>Ghanem</w:t>
      </w:r>
      <w:proofErr w:type="spellEnd"/>
      <w:r w:rsidR="00DC2FEB">
        <w:t xml:space="preserve"> e </w:t>
      </w:r>
      <w:proofErr w:type="spellStart"/>
      <w:r w:rsidR="00DC2FEB">
        <w:t>Trilla</w:t>
      </w:r>
      <w:proofErr w:type="spellEnd"/>
      <w:r w:rsidR="00DC2FEB">
        <w:t xml:space="preserve"> (2008)</w:t>
      </w:r>
      <w:r w:rsidR="00444E03">
        <w:t xml:space="preserve"> e</w:t>
      </w:r>
      <w:r w:rsidR="00DC2FEB">
        <w:t xml:space="preserve"> na Legislação</w:t>
      </w:r>
      <w:r w:rsidR="00444E03">
        <w:t>.</w:t>
      </w:r>
    </w:p>
    <w:p w:rsidR="00444E03" w:rsidRDefault="00444E03" w:rsidP="00130E4E">
      <w:pPr>
        <w:ind w:firstLine="709"/>
        <w:jc w:val="both"/>
        <w:rPr>
          <w:rFonts w:ascii="Arial" w:hAnsi="Arial" w:cs="Arial"/>
        </w:rPr>
      </w:pPr>
      <w:r>
        <w:rPr>
          <w:rFonts w:ascii="Arial" w:hAnsi="Arial" w:cs="Arial"/>
        </w:rPr>
        <w:t xml:space="preserve">Desse modo, </w:t>
      </w:r>
      <w:r w:rsidR="00A45B57">
        <w:rPr>
          <w:rFonts w:ascii="Arial" w:hAnsi="Arial" w:cs="Arial"/>
        </w:rPr>
        <w:t>é necessário compreender que</w:t>
      </w:r>
      <w:r w:rsidR="00130E4E">
        <w:rPr>
          <w:rFonts w:ascii="Arial" w:hAnsi="Arial" w:cs="Arial"/>
        </w:rPr>
        <w:t>,</w:t>
      </w:r>
      <w:r w:rsidR="00A45B57">
        <w:rPr>
          <w:rFonts w:ascii="Arial" w:hAnsi="Arial" w:cs="Arial"/>
        </w:rPr>
        <w:t xml:space="preserve"> a educação em </w:t>
      </w:r>
      <w:r w:rsidR="00130E4E">
        <w:rPr>
          <w:rFonts w:ascii="Arial" w:hAnsi="Arial" w:cs="Arial"/>
        </w:rPr>
        <w:t>espaç</w:t>
      </w:r>
      <w:r w:rsidR="00A45B57">
        <w:rPr>
          <w:rFonts w:ascii="Arial" w:hAnsi="Arial" w:cs="Arial"/>
        </w:rPr>
        <w:t>os</w:t>
      </w:r>
      <w:r w:rsidR="00130E4E">
        <w:rPr>
          <w:rFonts w:ascii="Arial" w:hAnsi="Arial" w:cs="Arial"/>
        </w:rPr>
        <w:t xml:space="preserve"> não formais</w:t>
      </w:r>
      <w:r w:rsidR="00A45B57">
        <w:rPr>
          <w:rFonts w:ascii="Arial" w:hAnsi="Arial" w:cs="Arial"/>
        </w:rPr>
        <w:t xml:space="preserve"> não surgiram espontaneamente, mas sim por decorrência de uma série de fatores, conforme afirmam </w:t>
      </w:r>
      <w:proofErr w:type="spellStart"/>
      <w:r w:rsidR="00A45B57">
        <w:rPr>
          <w:rFonts w:ascii="Arial" w:hAnsi="Arial" w:cs="Arial"/>
        </w:rPr>
        <w:t>Ghanem</w:t>
      </w:r>
      <w:proofErr w:type="spellEnd"/>
      <w:r w:rsidR="00A45B57">
        <w:rPr>
          <w:rFonts w:ascii="Arial" w:hAnsi="Arial" w:cs="Arial"/>
        </w:rPr>
        <w:t xml:space="preserve"> e </w:t>
      </w:r>
      <w:proofErr w:type="spellStart"/>
      <w:r w:rsidR="00A45B57">
        <w:rPr>
          <w:rFonts w:ascii="Arial" w:hAnsi="Arial" w:cs="Arial"/>
        </w:rPr>
        <w:t>Trilla</w:t>
      </w:r>
      <w:proofErr w:type="spellEnd"/>
      <w:r w:rsidR="00A45B57">
        <w:rPr>
          <w:rFonts w:ascii="Arial" w:hAnsi="Arial" w:cs="Arial"/>
        </w:rPr>
        <w:t xml:space="preserve"> (2008, p.19) que a educação não formal </w:t>
      </w:r>
      <w:proofErr w:type="spellStart"/>
      <w:r w:rsidR="00A45B57">
        <w:rPr>
          <w:rFonts w:ascii="Arial" w:hAnsi="Arial" w:cs="Arial"/>
        </w:rPr>
        <w:t>sugiu</w:t>
      </w:r>
      <w:proofErr w:type="spellEnd"/>
      <w:r w:rsidRPr="005827AA">
        <w:rPr>
          <w:rFonts w:ascii="Arial" w:hAnsi="Arial" w:cs="Arial"/>
        </w:rPr>
        <w:t>:</w:t>
      </w:r>
    </w:p>
    <w:p w:rsidR="00444E03" w:rsidRPr="005827AA" w:rsidRDefault="00444E03" w:rsidP="00F55C97">
      <w:pPr>
        <w:jc w:val="both"/>
        <w:rPr>
          <w:rFonts w:ascii="Arial" w:hAnsi="Arial" w:cs="Arial"/>
        </w:rPr>
      </w:pPr>
    </w:p>
    <w:p w:rsidR="00444E03" w:rsidRDefault="00A45B57" w:rsidP="00130E4E">
      <w:pPr>
        <w:ind w:left="2268"/>
        <w:jc w:val="both"/>
        <w:rPr>
          <w:rFonts w:ascii="Arial" w:hAnsi="Arial" w:cs="Arial"/>
          <w:sz w:val="20"/>
          <w:szCs w:val="20"/>
        </w:rPr>
      </w:pPr>
      <w:r>
        <w:rPr>
          <w:rFonts w:ascii="Arial" w:hAnsi="Arial" w:cs="Arial"/>
          <w:sz w:val="20"/>
          <w:szCs w:val="20"/>
        </w:rPr>
        <w:t xml:space="preserve">[...] em decorrência de uma série de fatores sociais, econômicos, tecnológicos, etc. que, por um lado, geram novas necessidades educacionais e, por outro, suscitam inéditas possibilidades pedagógicas não escolares que buscam satisfazer essas necessidades. </w:t>
      </w:r>
    </w:p>
    <w:p w:rsidR="00444E03" w:rsidRDefault="00444E03" w:rsidP="00F55C97">
      <w:pPr>
        <w:jc w:val="both"/>
        <w:rPr>
          <w:rFonts w:ascii="Arial" w:hAnsi="Arial" w:cs="Arial"/>
          <w:sz w:val="20"/>
          <w:szCs w:val="20"/>
        </w:rPr>
      </w:pPr>
    </w:p>
    <w:p w:rsidR="00444E03" w:rsidRPr="0010049B" w:rsidRDefault="00444E03" w:rsidP="00130E4E">
      <w:pPr>
        <w:ind w:firstLine="709"/>
        <w:jc w:val="both"/>
        <w:rPr>
          <w:rFonts w:ascii="Arial" w:hAnsi="Arial" w:cs="Arial"/>
        </w:rPr>
      </w:pPr>
      <w:r>
        <w:rPr>
          <w:rFonts w:ascii="Arial" w:hAnsi="Arial" w:cs="Arial"/>
        </w:rPr>
        <w:t>Assim, diante as diversidades que podem-s</w:t>
      </w:r>
      <w:r w:rsidR="00A45B57">
        <w:rPr>
          <w:rFonts w:ascii="Arial" w:hAnsi="Arial" w:cs="Arial"/>
        </w:rPr>
        <w:t>e encontrar no ambiente escolar</w:t>
      </w:r>
      <w:r>
        <w:rPr>
          <w:rFonts w:ascii="Arial" w:hAnsi="Arial" w:cs="Arial"/>
        </w:rPr>
        <w:t>, destaca-se as inúmeras funções do pedagogo nessa área de trabalho, oferecendo um aporte a</w:t>
      </w:r>
      <w:r w:rsidR="00A45B57">
        <w:rPr>
          <w:rFonts w:ascii="Arial" w:hAnsi="Arial" w:cs="Arial"/>
        </w:rPr>
        <w:t>os alunos afastados da escola</w:t>
      </w:r>
      <w:r>
        <w:rPr>
          <w:rFonts w:ascii="Arial" w:hAnsi="Arial" w:cs="Arial"/>
        </w:rPr>
        <w:t>, além de enriquecer o próprio nível de conhecimento e a busca constante da aprendizagem</w:t>
      </w:r>
      <w:r w:rsidR="00A45B57">
        <w:rPr>
          <w:rFonts w:ascii="Arial" w:hAnsi="Arial" w:cs="Arial"/>
        </w:rPr>
        <w:t xml:space="preserve"> de ambos</w:t>
      </w:r>
      <w:r w:rsidRPr="0010049B">
        <w:rPr>
          <w:rFonts w:ascii="Arial" w:hAnsi="Arial" w:cs="Arial"/>
        </w:rPr>
        <w:t>.</w:t>
      </w:r>
    </w:p>
    <w:p w:rsidR="00444E03" w:rsidRDefault="00444E03" w:rsidP="00F55C97">
      <w:pPr>
        <w:pStyle w:val="EstiloNormalArial"/>
        <w:ind w:firstLine="0"/>
      </w:pPr>
    </w:p>
    <w:p w:rsidR="00045AE6" w:rsidRDefault="00045AE6" w:rsidP="00F55C97">
      <w:pPr>
        <w:pStyle w:val="TtuloSubSeoArtigoArial"/>
        <w:spacing w:before="0" w:after="0"/>
        <w:jc w:val="both"/>
      </w:pPr>
      <w:r>
        <w:t xml:space="preserve">Resultados/Resultados parciais e discussão </w:t>
      </w:r>
    </w:p>
    <w:p w:rsidR="004C7256" w:rsidRDefault="00444E03" w:rsidP="00130E4E">
      <w:pPr>
        <w:pStyle w:val="EstiloNormalArial"/>
        <w:ind w:firstLine="709"/>
      </w:pPr>
      <w:r>
        <w:t>A presente pesquisa é reflexiva, porém não conclusiva, pois o projeto de</w:t>
      </w:r>
      <w:r w:rsidR="00A45B57">
        <w:t xml:space="preserve"> pesquisa</w:t>
      </w:r>
      <w:r>
        <w:t xml:space="preserve"> </w:t>
      </w:r>
      <w:r w:rsidR="00A45B57">
        <w:t>para conclusão do curso</w:t>
      </w:r>
      <w:r>
        <w:t xml:space="preserve"> segue em andamento. </w:t>
      </w:r>
    </w:p>
    <w:p w:rsidR="004C7256" w:rsidRDefault="00A45B57" w:rsidP="00130E4E">
      <w:pPr>
        <w:pStyle w:val="EstiloNormalArial"/>
        <w:ind w:firstLine="709"/>
      </w:pPr>
      <w:r>
        <w:t xml:space="preserve">Dentre </w:t>
      </w:r>
      <w:r w:rsidR="004D5615">
        <w:t>os estudos realizado</w:t>
      </w:r>
      <w:r>
        <w:t xml:space="preserve">s para esse trabalho, </w:t>
      </w:r>
      <w:r w:rsidR="00F55C97">
        <w:t xml:space="preserve">tornou-se possível compreender a atuação do pedagogo em diversas áreas e a sua importância para o desenvolvimento de crianças e adolescentes. Além de conhecer conceitos e diferenciações dessa profissão que ainda é busca uma identidade, pois conforme os resultados obtidos até o momento, conclui-se que o curso de Licenciatura em Pedagogia habilita o graduando à atuar na Educação Infantil, Ensino Fundamental I, Gestão Escolar, e os diversos espaços não escolares como Presídios, </w:t>
      </w:r>
      <w:proofErr w:type="spellStart"/>
      <w:r w:rsidR="00F55C97">
        <w:t>ONG’s</w:t>
      </w:r>
      <w:proofErr w:type="spellEnd"/>
      <w:r w:rsidR="00F55C97">
        <w:t>, Hospitais, Empresas, Hospitais, entre outros que fazem parte da educação não formal</w:t>
      </w:r>
      <w:r w:rsidR="004C7256">
        <w:t>.</w:t>
      </w:r>
    </w:p>
    <w:p w:rsidR="00961DDE" w:rsidRDefault="00961DDE" w:rsidP="00F55C97">
      <w:pPr>
        <w:pStyle w:val="TtuloSubSeoArtigoArial"/>
        <w:spacing w:before="0" w:after="0"/>
        <w:jc w:val="both"/>
      </w:pPr>
    </w:p>
    <w:p w:rsidR="00045AE6" w:rsidRDefault="00045AE6" w:rsidP="00F55C97">
      <w:pPr>
        <w:pStyle w:val="TtuloSubSeoArtigoArial"/>
        <w:spacing w:before="0" w:after="0"/>
        <w:jc w:val="both"/>
      </w:pPr>
      <w:r>
        <w:t xml:space="preserve">Considerações finais </w:t>
      </w:r>
    </w:p>
    <w:p w:rsidR="00F55C97" w:rsidRDefault="003E09C9" w:rsidP="00130E4E">
      <w:pPr>
        <w:ind w:firstLine="709"/>
        <w:jc w:val="both"/>
        <w:rPr>
          <w:rFonts w:ascii="Arial" w:hAnsi="Arial" w:cs="Arial"/>
        </w:rPr>
      </w:pPr>
      <w:r w:rsidRPr="0026604D">
        <w:rPr>
          <w:rFonts w:ascii="Arial" w:hAnsi="Arial" w:cs="Arial"/>
        </w:rPr>
        <w:t>Desta forma</w:t>
      </w:r>
      <w:r>
        <w:t xml:space="preserve">, </w:t>
      </w:r>
      <w:r w:rsidR="0026604D">
        <w:rPr>
          <w:rFonts w:ascii="Arial" w:hAnsi="Arial" w:cs="Arial"/>
        </w:rPr>
        <w:t>entende</w:t>
      </w:r>
      <w:r w:rsidR="00F55C97">
        <w:rPr>
          <w:rFonts w:ascii="Arial" w:hAnsi="Arial" w:cs="Arial"/>
        </w:rPr>
        <w:t>-se então que a educação vai além das dependências escolares e se faz presente nos mais diversos ambientes, e desta forma salientando a formação na área pedagógica, pois de acordo com o Conselho Nacional de Educação (CNE), em sua resolução n° 1, de 15 de maio de 2006, que declara:</w:t>
      </w:r>
    </w:p>
    <w:p w:rsidR="00F55C97" w:rsidRDefault="00F55C97" w:rsidP="00F55C97">
      <w:pPr>
        <w:jc w:val="both"/>
        <w:rPr>
          <w:rFonts w:ascii="Arial" w:hAnsi="Arial" w:cs="Arial"/>
        </w:rPr>
      </w:pPr>
    </w:p>
    <w:p w:rsidR="00F55C97" w:rsidRDefault="00F55C97" w:rsidP="00F55C97">
      <w:pPr>
        <w:ind w:left="2268"/>
        <w:jc w:val="both"/>
        <w:rPr>
          <w:rFonts w:ascii="Arial" w:hAnsi="Arial" w:cs="Arial"/>
          <w:sz w:val="20"/>
          <w:szCs w:val="20"/>
        </w:rPr>
      </w:pPr>
      <w:r w:rsidRPr="00DD2315">
        <w:rPr>
          <w:rFonts w:ascii="Arial" w:hAnsi="Arial" w:cs="Arial"/>
          <w:sz w:val="20"/>
          <w:szCs w:val="20"/>
        </w:rPr>
        <w:t>Art. 4º O curso de Licenciatura em Pedagogia destina-se à formação de professores para exercer funções de magistério na Educação Infantil e nos anos iniciais do Ensino Fundamental, nos cursos de Ensino Médio, na modalidade Normal, de Educação Profissional na área de serviços e apoio escolar e em outras áreas nas quais sejam previstos conhecimentos pedagógicos.</w:t>
      </w:r>
      <w:r>
        <w:rPr>
          <w:rFonts w:ascii="Arial" w:hAnsi="Arial" w:cs="Arial"/>
          <w:sz w:val="20"/>
          <w:szCs w:val="20"/>
        </w:rPr>
        <w:t xml:space="preserve"> (BRASIL, 2006, p. 2)</w:t>
      </w:r>
    </w:p>
    <w:p w:rsidR="00462BF4" w:rsidRDefault="00462BF4" w:rsidP="00F55C97">
      <w:pPr>
        <w:pStyle w:val="EstiloNormalArial"/>
        <w:ind w:left="2268" w:firstLine="0"/>
        <w:rPr>
          <w:sz w:val="20"/>
          <w:szCs w:val="20"/>
        </w:rPr>
      </w:pPr>
    </w:p>
    <w:p w:rsidR="00462BF4" w:rsidRPr="00462BF4" w:rsidRDefault="00462BF4" w:rsidP="00F55C97">
      <w:pPr>
        <w:pStyle w:val="EstiloNormalArial"/>
        <w:ind w:firstLine="0"/>
        <w:rPr>
          <w:sz w:val="20"/>
          <w:szCs w:val="20"/>
        </w:rPr>
      </w:pPr>
    </w:p>
    <w:p w:rsidR="00045AE6" w:rsidRDefault="00462BF4" w:rsidP="00130E4E">
      <w:pPr>
        <w:ind w:firstLine="709"/>
        <w:jc w:val="both"/>
        <w:rPr>
          <w:rFonts w:ascii="Arial" w:hAnsi="Arial" w:cs="Arial"/>
          <w:color w:val="000000"/>
          <w:shd w:val="clear" w:color="auto" w:fill="FFFFFF"/>
        </w:rPr>
      </w:pPr>
      <w:r>
        <w:rPr>
          <w:rFonts w:ascii="Arial" w:hAnsi="Arial" w:cs="Arial"/>
          <w:color w:val="000000"/>
          <w:shd w:val="clear" w:color="auto" w:fill="FFFFFF"/>
        </w:rPr>
        <w:t>Logo</w:t>
      </w:r>
      <w:r w:rsidR="00045AE6">
        <w:rPr>
          <w:rFonts w:ascii="Arial" w:hAnsi="Arial" w:cs="Arial"/>
          <w:color w:val="000000"/>
          <w:shd w:val="clear" w:color="auto" w:fill="FFFFFF"/>
        </w:rPr>
        <w:t xml:space="preserve">, </w:t>
      </w:r>
      <w:r w:rsidR="00F55C97">
        <w:rPr>
          <w:rFonts w:ascii="Arial" w:hAnsi="Arial" w:cs="Arial"/>
          <w:color w:val="000000"/>
          <w:shd w:val="clear" w:color="auto" w:fill="FFFFFF"/>
        </w:rPr>
        <w:t>a sociedade necessita de outros espaços educacionais para atender crianças e adolescentes que a rede regular de ensino não consegue alcançar. P</w:t>
      </w:r>
      <w:r w:rsidR="00045AE6">
        <w:rPr>
          <w:rFonts w:ascii="Arial" w:hAnsi="Arial" w:cs="Arial"/>
          <w:color w:val="000000"/>
          <w:shd w:val="clear" w:color="auto" w:fill="FFFFFF"/>
        </w:rPr>
        <w:t xml:space="preserve">ara se </w:t>
      </w:r>
      <w:r w:rsidR="00045AE6">
        <w:rPr>
          <w:rFonts w:ascii="Arial" w:hAnsi="Arial" w:cs="Arial"/>
          <w:color w:val="000000"/>
          <w:shd w:val="clear" w:color="auto" w:fill="FFFFFF"/>
        </w:rPr>
        <w:lastRenderedPageBreak/>
        <w:t>construir um ambiente que se insira ação pedagógica necessita de um profissional com olhar diferenciado, instruído, capacitado, de grande conhecimento que entenda a Legislação e Leis que regem a Constituição e as Diretrizes Cu</w:t>
      </w:r>
      <w:r>
        <w:rPr>
          <w:rFonts w:ascii="Arial" w:hAnsi="Arial" w:cs="Arial"/>
          <w:color w:val="000000"/>
          <w:shd w:val="clear" w:color="auto" w:fill="FFFFFF"/>
        </w:rPr>
        <w:t xml:space="preserve">rriculares, e o mais importante é priorizar </w:t>
      </w:r>
      <w:r w:rsidR="00F55C97">
        <w:rPr>
          <w:rFonts w:ascii="Arial" w:hAnsi="Arial" w:cs="Arial"/>
          <w:color w:val="000000"/>
          <w:shd w:val="clear" w:color="auto" w:fill="FFFFFF"/>
        </w:rPr>
        <w:t>o desenvolvimento da aprendizagem desses alunos e sua reinserção na sociedade e na educação.</w:t>
      </w:r>
    </w:p>
    <w:p w:rsidR="00462BF4" w:rsidRDefault="00462BF4" w:rsidP="00F55C97">
      <w:pPr>
        <w:jc w:val="both"/>
        <w:rPr>
          <w:rFonts w:ascii="Arial" w:hAnsi="Arial" w:cs="Arial"/>
          <w:color w:val="000000"/>
          <w:shd w:val="clear" w:color="auto" w:fill="FFFFFF"/>
        </w:rPr>
      </w:pPr>
    </w:p>
    <w:p w:rsidR="00F55C97" w:rsidRDefault="00F55C97" w:rsidP="00F55C97">
      <w:pPr>
        <w:jc w:val="both"/>
        <w:rPr>
          <w:rFonts w:ascii="Arial" w:hAnsi="Arial" w:cs="Arial"/>
          <w:color w:val="000000"/>
          <w:shd w:val="clear" w:color="auto" w:fill="FFFFFF"/>
        </w:rPr>
      </w:pPr>
    </w:p>
    <w:p w:rsidR="00F55C97" w:rsidRDefault="00F55C97" w:rsidP="00F55C97">
      <w:pPr>
        <w:jc w:val="both"/>
        <w:rPr>
          <w:rFonts w:ascii="Arial" w:hAnsi="Arial" w:cs="Arial"/>
          <w:color w:val="000000"/>
          <w:shd w:val="clear" w:color="auto" w:fill="FFFFFF"/>
        </w:rPr>
      </w:pPr>
    </w:p>
    <w:p w:rsidR="00045AE6" w:rsidRDefault="00045AE6" w:rsidP="00F55C97">
      <w:pPr>
        <w:pStyle w:val="TtuloSubSeoArtigoArial"/>
        <w:spacing w:before="0" w:after="0"/>
        <w:jc w:val="both"/>
      </w:pPr>
      <w:r>
        <w:t xml:space="preserve">Referências </w:t>
      </w:r>
    </w:p>
    <w:p w:rsidR="009345F7" w:rsidRDefault="002B7474" w:rsidP="00140607">
      <w:pPr>
        <w:pStyle w:val="TtuloSubSeoArtigoArial"/>
        <w:spacing w:before="0" w:after="0"/>
        <w:jc w:val="both"/>
        <w:rPr>
          <w:b w:val="0"/>
        </w:rPr>
      </w:pPr>
      <w:hyperlink r:id="rId9" w:history="1">
        <w:r w:rsidR="00045AE6" w:rsidRPr="00157ED6">
          <w:rPr>
            <w:b w:val="0"/>
            <w:color w:val="2518B5"/>
            <w:shd w:val="clear" w:color="auto" w:fill="FFFFFF"/>
            <w:lang w:eastAsia="pt-BR"/>
          </w:rPr>
          <w:br/>
        </w:r>
      </w:hyperlink>
      <w:r w:rsidR="00140607" w:rsidRPr="00140607">
        <w:rPr>
          <w:b w:val="0"/>
        </w:rPr>
        <w:t>BRASIL/CNE. Resolução CNE/CP n. 1, de 15 de maio de 2006.</w:t>
      </w:r>
      <w:r w:rsidR="00140607" w:rsidRPr="00140607">
        <w:rPr>
          <w:b w:val="0"/>
        </w:rPr>
        <w:t xml:space="preserve"> Disponível em: &lt;http://portal.mec.gov.br/cne/arquivos/pdf/rcp01_06.pdf&gt; Acesso em: </w:t>
      </w:r>
      <w:proofErr w:type="gramStart"/>
      <w:r w:rsidR="00140607" w:rsidRPr="00140607">
        <w:rPr>
          <w:b w:val="0"/>
        </w:rPr>
        <w:t>Setembro</w:t>
      </w:r>
      <w:proofErr w:type="gramEnd"/>
      <w:r w:rsidR="00140607" w:rsidRPr="00140607">
        <w:rPr>
          <w:b w:val="0"/>
        </w:rPr>
        <w:t xml:space="preserve"> de 2017.</w:t>
      </w:r>
    </w:p>
    <w:p w:rsidR="00140607" w:rsidRDefault="00140607" w:rsidP="00140607">
      <w:pPr>
        <w:pStyle w:val="TtuloSubSeoArtigoArial"/>
        <w:spacing w:before="0" w:after="0"/>
        <w:jc w:val="both"/>
        <w:rPr>
          <w:b w:val="0"/>
        </w:rPr>
      </w:pPr>
    </w:p>
    <w:p w:rsidR="00140607" w:rsidRDefault="00140607" w:rsidP="00140607">
      <w:pPr>
        <w:pStyle w:val="TtuloSubSeoArtigoArial"/>
        <w:spacing w:before="0" w:after="0"/>
        <w:jc w:val="both"/>
        <w:rPr>
          <w:b w:val="0"/>
        </w:rPr>
      </w:pPr>
      <w:r>
        <w:rPr>
          <w:b w:val="0"/>
        </w:rPr>
        <w:t>GUILHERME, Regina Aparecida Messias; TOZETTO, Susana Soares. Pedagogia: Educação em espaços não formais. Ponta Grossa: UEPG/NUTEAD</w:t>
      </w:r>
      <w:r w:rsidR="00853674">
        <w:rPr>
          <w:b w:val="0"/>
        </w:rPr>
        <w:t>, 2012.</w:t>
      </w:r>
    </w:p>
    <w:p w:rsidR="00853674" w:rsidRDefault="00853674" w:rsidP="00140607">
      <w:pPr>
        <w:pStyle w:val="TtuloSubSeoArtigoArial"/>
        <w:spacing w:before="0" w:after="0"/>
        <w:jc w:val="both"/>
        <w:rPr>
          <w:b w:val="0"/>
        </w:rPr>
      </w:pPr>
    </w:p>
    <w:p w:rsidR="00853674" w:rsidRPr="00140607" w:rsidRDefault="00853674" w:rsidP="00140607">
      <w:pPr>
        <w:pStyle w:val="TtuloSubSeoArtigoArial"/>
        <w:spacing w:before="0" w:after="0"/>
        <w:jc w:val="both"/>
        <w:rPr>
          <w:b w:val="0"/>
        </w:rPr>
      </w:pPr>
      <w:r>
        <w:rPr>
          <w:b w:val="0"/>
        </w:rPr>
        <w:t xml:space="preserve">GHANEM, Elie; TRILLA, </w:t>
      </w:r>
      <w:proofErr w:type="spellStart"/>
      <w:r>
        <w:rPr>
          <w:b w:val="0"/>
        </w:rPr>
        <w:t>Jaume</w:t>
      </w:r>
      <w:proofErr w:type="spellEnd"/>
      <w:r>
        <w:rPr>
          <w:b w:val="0"/>
        </w:rPr>
        <w:t xml:space="preserve">. Educação formal e não-formal. São Paulo: </w:t>
      </w:r>
      <w:proofErr w:type="spellStart"/>
      <w:r>
        <w:rPr>
          <w:b w:val="0"/>
        </w:rPr>
        <w:t>Summus</w:t>
      </w:r>
      <w:proofErr w:type="spellEnd"/>
      <w:r>
        <w:rPr>
          <w:b w:val="0"/>
        </w:rPr>
        <w:t>, 2008</w:t>
      </w:r>
      <w:bookmarkStart w:id="0" w:name="_GoBack"/>
      <w:bookmarkEnd w:id="0"/>
    </w:p>
    <w:sectPr w:rsidR="00853674" w:rsidRPr="00140607">
      <w:pgSz w:w="11906" w:h="16838"/>
      <w:pgMar w:top="1418" w:right="1134"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474" w:rsidRDefault="002B7474" w:rsidP="00C84719">
      <w:r>
        <w:separator/>
      </w:r>
    </w:p>
  </w:endnote>
  <w:endnote w:type="continuationSeparator" w:id="0">
    <w:p w:rsidR="002B7474" w:rsidRDefault="002B7474" w:rsidP="00C8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474" w:rsidRDefault="002B7474" w:rsidP="00C84719">
      <w:r>
        <w:separator/>
      </w:r>
    </w:p>
  </w:footnote>
  <w:footnote w:type="continuationSeparator" w:id="0">
    <w:p w:rsidR="002B7474" w:rsidRDefault="002B7474" w:rsidP="00C84719">
      <w:r>
        <w:continuationSeparator/>
      </w:r>
    </w:p>
  </w:footnote>
  <w:footnote w:id="1">
    <w:p w:rsidR="00C84719" w:rsidRDefault="00C84719">
      <w:pPr>
        <w:pStyle w:val="Textodenotaderodap"/>
      </w:pPr>
      <w:r>
        <w:rPr>
          <w:rStyle w:val="Refdenotaderodap"/>
        </w:rPr>
        <w:footnoteRef/>
      </w:r>
      <w:r>
        <w:t xml:space="preserve"> </w:t>
      </w:r>
      <w:r w:rsidR="00130E4E">
        <w:t xml:space="preserve">Licenciatura em </w:t>
      </w:r>
      <w:r>
        <w:t xml:space="preserve">Pedagogia, </w:t>
      </w:r>
      <w:r w:rsidR="00130E4E">
        <w:t>acadêmica do curso de Pedagogia, Instituição de Ensino Superior Sant’Ana, shaienerdeavila@gmail.com</w:t>
      </w:r>
    </w:p>
  </w:footnote>
  <w:footnote w:id="2">
    <w:p w:rsidR="00130E4E" w:rsidRDefault="00130E4E">
      <w:pPr>
        <w:pStyle w:val="Textodenotaderodap"/>
      </w:pPr>
      <w:r>
        <w:rPr>
          <w:rStyle w:val="Refdenotaderodap"/>
        </w:rPr>
        <w:footnoteRef/>
      </w:r>
      <w:r>
        <w:t xml:space="preserve"> Orientadora, Pedagoga Especialista, Instituição de Ensino Superior Sant’Ana, prof.ingrid@iessa.edu.br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D7B1A"/>
    <w:multiLevelType w:val="hybridMultilevel"/>
    <w:tmpl w:val="C3D0A612"/>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6A807FE9"/>
    <w:multiLevelType w:val="hybridMultilevel"/>
    <w:tmpl w:val="B03C5C8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E6"/>
    <w:rsid w:val="00045AE6"/>
    <w:rsid w:val="00125CF5"/>
    <w:rsid w:val="00130401"/>
    <w:rsid w:val="00130E4E"/>
    <w:rsid w:val="00140607"/>
    <w:rsid w:val="00183205"/>
    <w:rsid w:val="0026604D"/>
    <w:rsid w:val="002B7474"/>
    <w:rsid w:val="003E09C9"/>
    <w:rsid w:val="00444E03"/>
    <w:rsid w:val="00462BF4"/>
    <w:rsid w:val="004C7256"/>
    <w:rsid w:val="004D5615"/>
    <w:rsid w:val="007E24FD"/>
    <w:rsid w:val="00853674"/>
    <w:rsid w:val="009345F7"/>
    <w:rsid w:val="00961DDE"/>
    <w:rsid w:val="00966846"/>
    <w:rsid w:val="00A45B57"/>
    <w:rsid w:val="00B366D2"/>
    <w:rsid w:val="00C84719"/>
    <w:rsid w:val="00DC2FEB"/>
    <w:rsid w:val="00DE17B8"/>
    <w:rsid w:val="00F55C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C5F3"/>
  <w15:chartTrackingRefBased/>
  <w15:docId w15:val="{1C5F4427-0959-4442-BF2C-F0FE2B5E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AE6"/>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oemlinha">
    <w:name w:val="Citação_em_linha"/>
    <w:rsid w:val="00045AE6"/>
    <w:rPr>
      <w:i/>
    </w:rPr>
  </w:style>
  <w:style w:type="paragraph" w:customStyle="1" w:styleId="Transcricao">
    <w:name w:val="Transcricao"/>
    <w:basedOn w:val="Normal"/>
    <w:next w:val="Normal"/>
    <w:rsid w:val="00045AE6"/>
    <w:pPr>
      <w:spacing w:before="240" w:after="240"/>
      <w:ind w:left="1350"/>
      <w:jc w:val="both"/>
    </w:pPr>
    <w:rPr>
      <w:sz w:val="20"/>
      <w:szCs w:val="20"/>
    </w:rPr>
  </w:style>
  <w:style w:type="paragraph" w:customStyle="1" w:styleId="Citacaodestacada">
    <w:name w:val="Citacao_destacada"/>
    <w:basedOn w:val="Transcricao"/>
    <w:rsid w:val="00045AE6"/>
    <w:pPr>
      <w:tabs>
        <w:tab w:val="left" w:pos="8640"/>
        <w:tab w:val="left" w:pos="9355"/>
      </w:tabs>
      <w:ind w:left="2268"/>
    </w:pPr>
    <w:rPr>
      <w:i/>
      <w:iCs/>
    </w:rPr>
  </w:style>
  <w:style w:type="paragraph" w:customStyle="1" w:styleId="TtuloSubSeoArtigoArial">
    <w:name w:val="Título_SubSeção_Artigo + Arial"/>
    <w:basedOn w:val="Normal"/>
    <w:rsid w:val="00045AE6"/>
    <w:pPr>
      <w:spacing w:before="360" w:after="120"/>
    </w:pPr>
    <w:rPr>
      <w:rFonts w:ascii="Arial" w:hAnsi="Arial" w:cs="Arial"/>
      <w:b/>
    </w:rPr>
  </w:style>
  <w:style w:type="paragraph" w:customStyle="1" w:styleId="EstiloNormalArial">
    <w:name w:val="Estilo Normal + Arial"/>
    <w:basedOn w:val="Normal"/>
    <w:rsid w:val="00045AE6"/>
    <w:pPr>
      <w:ind w:firstLine="851"/>
      <w:jc w:val="both"/>
    </w:pPr>
    <w:rPr>
      <w:rFonts w:ascii="Arial" w:hAnsi="Arial"/>
    </w:rPr>
  </w:style>
  <w:style w:type="paragraph" w:customStyle="1" w:styleId="ReferenciasNegrito">
    <w:name w:val="Referencias + Negrito"/>
    <w:basedOn w:val="Normal"/>
    <w:rsid w:val="00045AE6"/>
    <w:pPr>
      <w:spacing w:after="120"/>
    </w:pPr>
    <w:rPr>
      <w:rFonts w:ascii="Arial" w:hAnsi="Arial" w:cs="Arial"/>
      <w:sz w:val="22"/>
      <w:szCs w:val="22"/>
    </w:rPr>
  </w:style>
  <w:style w:type="paragraph" w:styleId="Pr-formataoHTML">
    <w:name w:val="HTML Preformatted"/>
    <w:basedOn w:val="Normal"/>
    <w:link w:val="Pr-formataoHTMLChar"/>
    <w:rsid w:val="00045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Pr-formataoHTMLChar">
    <w:name w:val="Pré-formatação HTML Char"/>
    <w:basedOn w:val="Fontepargpadro"/>
    <w:link w:val="Pr-formataoHTML"/>
    <w:rsid w:val="00045AE6"/>
    <w:rPr>
      <w:rFonts w:ascii="Courier New" w:eastAsia="Times New Roman" w:hAnsi="Courier New" w:cs="Courier New"/>
      <w:color w:val="000000"/>
      <w:sz w:val="20"/>
      <w:szCs w:val="20"/>
      <w:lang w:eastAsia="ar-SA"/>
    </w:rPr>
  </w:style>
  <w:style w:type="paragraph" w:styleId="PargrafodaLista">
    <w:name w:val="List Paragraph"/>
    <w:basedOn w:val="Normal"/>
    <w:uiPriority w:val="34"/>
    <w:qFormat/>
    <w:rsid w:val="004C7256"/>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notaderodap">
    <w:name w:val="footnote text"/>
    <w:basedOn w:val="Normal"/>
    <w:link w:val="TextodenotaderodapChar"/>
    <w:uiPriority w:val="99"/>
    <w:semiHidden/>
    <w:unhideWhenUsed/>
    <w:rsid w:val="00C84719"/>
    <w:rPr>
      <w:sz w:val="20"/>
      <w:szCs w:val="20"/>
    </w:rPr>
  </w:style>
  <w:style w:type="character" w:customStyle="1" w:styleId="TextodenotaderodapChar">
    <w:name w:val="Texto de nota de rodapé Char"/>
    <w:basedOn w:val="Fontepargpadro"/>
    <w:link w:val="Textodenotaderodap"/>
    <w:uiPriority w:val="99"/>
    <w:semiHidden/>
    <w:rsid w:val="00C84719"/>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C84719"/>
    <w:rPr>
      <w:vertAlign w:val="superscript"/>
    </w:rPr>
  </w:style>
  <w:style w:type="character" w:styleId="Hyperlink">
    <w:name w:val="Hyperlink"/>
    <w:basedOn w:val="Fontepargpadro"/>
    <w:uiPriority w:val="99"/>
    <w:unhideWhenUsed/>
    <w:rsid w:val="001406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anslate.google.com.br/translate?hl=en&amp;sl=pt&amp;u=http://www.cefetgo.br/dppg/images/SIMPEEX/modelo_resumo_expandido_pibid.doc&amp;prev=/search%3Fq%3Dabnt%2Bresumo%2Bexpandido%26rlz%3D1C1FDUM_enBR502BR50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C6C5C-D327-4682-B953-D1876CD7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950</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fcsa</dc:creator>
  <cp:keywords/>
  <dc:description/>
  <cp:lastModifiedBy>Shayene Rodrigues</cp:lastModifiedBy>
  <cp:revision>5</cp:revision>
  <dcterms:created xsi:type="dcterms:W3CDTF">2017-09-29T13:26:00Z</dcterms:created>
  <dcterms:modified xsi:type="dcterms:W3CDTF">2017-10-02T23:21:00Z</dcterms:modified>
</cp:coreProperties>
</file>